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0DE" w:rsidRDefault="007B2BF0">
      <w:pPr>
        <w:rPr>
          <w:b/>
        </w:rPr>
      </w:pPr>
      <w:r>
        <w:rPr>
          <w:b/>
          <w:noProof/>
          <w:lang w:val="ru-RU"/>
        </w:rPr>
        <w:drawing>
          <wp:inline distT="0" distB="0" distL="0" distR="0">
            <wp:extent cx="5733415" cy="1268730"/>
            <wp:effectExtent l="0" t="0" r="63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3415" cy="1268730"/>
                    </a:xfrm>
                    <a:prstGeom prst="rect">
                      <a:avLst/>
                    </a:prstGeom>
                  </pic:spPr>
                </pic:pic>
              </a:graphicData>
            </a:graphic>
          </wp:inline>
        </w:drawing>
      </w:r>
    </w:p>
    <w:p w:rsidR="006070DE" w:rsidRDefault="00AD32FD">
      <w:pPr>
        <w:rPr>
          <w:rFonts w:ascii="Times New Roman" w:eastAsia="Times New Roman" w:hAnsi="Times New Roman" w:cs="Times New Roman"/>
          <w:b/>
        </w:rPr>
      </w:pPr>
      <w:r>
        <w:rPr>
          <w:rFonts w:ascii="Times New Roman" w:eastAsia="Times New Roman" w:hAnsi="Times New Roman" w:cs="Times New Roman"/>
          <w:b/>
          <w:lang w:val="ru-RU"/>
        </w:rPr>
        <w:t>5 июля</w:t>
      </w:r>
      <w:r>
        <w:rPr>
          <w:rFonts w:ascii="Times New Roman" w:eastAsia="Times New Roman" w:hAnsi="Times New Roman" w:cs="Times New Roman"/>
          <w:b/>
        </w:rPr>
        <w:t xml:space="preserve"> 2024</w:t>
      </w:r>
      <w:r w:rsidR="007B2BF0">
        <w:rPr>
          <w:rFonts w:ascii="Times New Roman" w:eastAsia="Times New Roman" w:hAnsi="Times New Roman" w:cs="Times New Roman"/>
          <w:b/>
        </w:rPr>
        <w:t xml:space="preserve"> года</w:t>
      </w:r>
    </w:p>
    <w:p w:rsidR="006070DE" w:rsidRDefault="007B2BF0">
      <w:pPr>
        <w:rPr>
          <w:rFonts w:ascii="Times New Roman" w:eastAsia="Times New Roman" w:hAnsi="Times New Roman" w:cs="Times New Roman"/>
          <w:b/>
          <w:lang w:val="ru-RU"/>
        </w:rPr>
      </w:pPr>
      <w:r>
        <w:rPr>
          <w:rFonts w:ascii="Times New Roman" w:eastAsia="Times New Roman" w:hAnsi="Times New Roman" w:cs="Times New Roman"/>
          <w:b/>
        </w:rPr>
        <w:t>Пресс-</w:t>
      </w:r>
      <w:r>
        <w:rPr>
          <w:rFonts w:ascii="Times New Roman" w:eastAsia="Times New Roman" w:hAnsi="Times New Roman" w:cs="Times New Roman"/>
          <w:b/>
          <w:lang w:val="ru-RU"/>
        </w:rPr>
        <w:t>релиз</w:t>
      </w:r>
    </w:p>
    <w:p w:rsidR="006070DE" w:rsidRDefault="006070DE">
      <w:pPr>
        <w:rPr>
          <w:rFonts w:ascii="Times New Roman" w:eastAsia="Times New Roman" w:hAnsi="Times New Roman" w:cs="Times New Roman"/>
          <w:b/>
          <w:sz w:val="28"/>
          <w:szCs w:val="28"/>
        </w:rPr>
      </w:pPr>
    </w:p>
    <w:p w:rsidR="00345925" w:rsidRPr="00345925" w:rsidRDefault="00345925" w:rsidP="00345925">
      <w:pPr>
        <w:spacing w:after="160" w:line="259" w:lineRule="auto"/>
        <w:rPr>
          <w:rFonts w:ascii="Times New Roman" w:eastAsia="Calibri" w:hAnsi="Times New Roman" w:cs="Times New Roman"/>
          <w:b/>
          <w:sz w:val="28"/>
          <w:szCs w:val="28"/>
          <w:lang w:val="ru-RU" w:eastAsia="en-US"/>
        </w:rPr>
      </w:pPr>
      <w:r w:rsidRPr="00345925">
        <w:rPr>
          <w:rFonts w:ascii="Times New Roman" w:eastAsia="Calibri" w:hAnsi="Times New Roman" w:cs="Times New Roman"/>
          <w:b/>
          <w:sz w:val="28"/>
          <w:szCs w:val="28"/>
          <w:lang w:val="ru-RU" w:eastAsia="en-US"/>
        </w:rPr>
        <w:t>От радиотехники до биомедицины: лучшие доклады молодых ученых определили на Международной конференции EDM-2024</w:t>
      </w:r>
    </w:p>
    <w:p w:rsidR="00345925" w:rsidRPr="00345925" w:rsidRDefault="00345925" w:rsidP="00345925">
      <w:pPr>
        <w:spacing w:after="160" w:line="259" w:lineRule="auto"/>
        <w:rPr>
          <w:rFonts w:ascii="Times New Roman" w:eastAsia="Calibri" w:hAnsi="Times New Roman" w:cs="Times New Roman"/>
          <w:b/>
          <w:sz w:val="24"/>
          <w:szCs w:val="24"/>
          <w:lang w:val="ru-RU" w:eastAsia="en-US"/>
        </w:rPr>
      </w:pPr>
      <w:r w:rsidRPr="00345925">
        <w:rPr>
          <w:rFonts w:ascii="Times New Roman" w:eastAsia="Calibri" w:hAnsi="Times New Roman" w:cs="Times New Roman"/>
          <w:b/>
          <w:sz w:val="24"/>
          <w:szCs w:val="24"/>
          <w:lang w:val="ru-RU" w:eastAsia="en-US"/>
        </w:rPr>
        <w:t>Ученые из 14 стран мира, 40 регионов России, 93 вузов и научных организаций стали участниками 25-й юбилейной Международной конференции молодых специалистов в области электронных приборов и материалов EDM.</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Конференция проводится Новосибирским государственным техническим университетом НЭТИ совместно с Сибирской секцией специалистов IEEE, сообществ IEEE при поддержке индустриальных партнеров. EDM-2024 прошла с 29 июня по 2 июля в Республике Алтай. В этом году председателем программного комитета конференции выступил ректор НГТУ НЭТИ доктор технических наук, профессор Анатолий Батаев.</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«Для нашего университета очень важно поддерживать традицию проведения EDM. Мне кажется, важнейшей задачей такого рода научных мероприятий является формирование сообщества, поиск партнеров и друзей, с которыми будешь сотрудничать долгие годы. На полях конференции обсуждаются стратегически значимые для развития НГТУ НЭТИ как участника программы «Приоритет 2030» направления, в числе которых – силовая электроника, интеллектуальная энергетика, синхротронное излучение и другие. Своим присутствием на конференции, своими докладами и участием в дискуссиях вы поддерживаете наши стратегические проекты, наши программы развития, – подчеркнул Анатолий Батаев. – Выражаю благодарность организаторам, нашим индустриальным, образовательным и научным партнерам, руководителям секций и, конечно, участникам юбилейной конференции EDM, которая по традиции прошла в атмосфере дружбы и поддержки молодых ученых старшим поколением».</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Подводя итоги работы конференции, ректор озвучил географию юбилейного научного мероприятия. Она была представлена участниками из 14 стран: России, Беларуси, Китая, Кыргызстана, Казахстана, Узбекистана, Азербайджана, Пакистана, Египта, Сирии, Индии, Испании, Сербии и Монголии.</w:t>
      </w:r>
    </w:p>
    <w:p w:rsidR="00345925" w:rsidRPr="00A647F7" w:rsidRDefault="00345925" w:rsidP="00345925">
      <w:pPr>
        <w:spacing w:after="160" w:line="259" w:lineRule="auto"/>
        <w:rPr>
          <w:rFonts w:ascii="Times New Roman" w:eastAsia="Calibri" w:hAnsi="Times New Roman" w:cs="Times New Roman"/>
          <w:sz w:val="24"/>
          <w:szCs w:val="24"/>
          <w:lang w:val="ru-RU" w:eastAsia="en-US"/>
        </w:rPr>
      </w:pPr>
      <w:r w:rsidRPr="00A647F7">
        <w:rPr>
          <w:rFonts w:ascii="Times New Roman" w:eastAsia="Calibri" w:hAnsi="Times New Roman" w:cs="Times New Roman"/>
          <w:sz w:val="24"/>
          <w:szCs w:val="24"/>
          <w:lang w:val="ru-RU" w:eastAsia="en-US"/>
        </w:rPr>
        <w:t xml:space="preserve">Юбилейная конференция EDM собрала индустриальных и образовательных партнеров НГТУ НЭТИ. Одна из самых многочисленных делегаций конференции в этом году – делегация Томского государственного университета систем управления и радиоэлектроники во главе с ректором Виктором </w:t>
      </w:r>
      <w:proofErr w:type="spellStart"/>
      <w:r w:rsidRPr="00A647F7">
        <w:rPr>
          <w:rFonts w:ascii="Times New Roman" w:eastAsia="Calibri" w:hAnsi="Times New Roman" w:cs="Times New Roman"/>
          <w:sz w:val="24"/>
          <w:szCs w:val="24"/>
          <w:lang w:val="ru-RU" w:eastAsia="en-US"/>
        </w:rPr>
        <w:t>Рулевским</w:t>
      </w:r>
      <w:proofErr w:type="spellEnd"/>
      <w:r w:rsidRPr="00A647F7">
        <w:rPr>
          <w:rFonts w:ascii="Times New Roman" w:eastAsia="Calibri" w:hAnsi="Times New Roman" w:cs="Times New Roman"/>
          <w:sz w:val="24"/>
          <w:szCs w:val="24"/>
          <w:lang w:val="ru-RU" w:eastAsia="en-US"/>
        </w:rPr>
        <w:t>. ТУСУР является участником федеральных программ развития: «Приоритет 2030», «Передовые инженерные школы», на базе вуза действует центр компетенций «Технологии доверенного взаимодействия» НТИ.</w:t>
      </w:r>
    </w:p>
    <w:p w:rsidR="00345925" w:rsidRPr="00A647F7" w:rsidRDefault="00345925" w:rsidP="00345925">
      <w:pPr>
        <w:spacing w:after="160" w:line="259" w:lineRule="auto"/>
        <w:rPr>
          <w:rFonts w:ascii="Times New Roman" w:eastAsia="Calibri" w:hAnsi="Times New Roman" w:cs="Times New Roman"/>
          <w:sz w:val="24"/>
          <w:szCs w:val="24"/>
          <w:lang w:val="ru-RU" w:eastAsia="en-US"/>
        </w:rPr>
      </w:pP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A647F7">
        <w:rPr>
          <w:rFonts w:ascii="Times New Roman" w:eastAsia="Calibri" w:hAnsi="Times New Roman" w:cs="Times New Roman"/>
          <w:sz w:val="24"/>
          <w:szCs w:val="24"/>
          <w:lang w:val="ru-RU" w:eastAsia="en-US"/>
        </w:rPr>
        <w:lastRenderedPageBreak/>
        <w:t>«В рамках этих проектов ключевыми направлениями для нас являются микроэлектроника, системы связи нового поколения, информационная безопасность, космическая инженерия. Собственно, секции конференции охватывают весь этот спектр наших тематических интересов. С одной стороны, EDM – это возможность молодым ученым представить собственные результаты и проекты, с другой стороны – получить экспертное мнение по реализуемым проектам», – прокомментировал Виктор Рулевский.</w:t>
      </w:r>
      <w:bookmarkStart w:id="0" w:name="_GoBack"/>
      <w:bookmarkEnd w:id="0"/>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Как отметил заместитель председателя конференции EDM-2024, заведующий кафедрой электроники и электротехники, директор Института силовой электроники НГТУ НЭТИ доктор технических наук, профессор Сергей Харитонов, конференция начиналась в 1999 году с формата школы-семинара, расширяя с годами тематику научных секций, однако неизменным остается миссия Конференции EDM: «Главная задача конференции, заложенная ее основателями, – вовлекать молодежь в науку. И на протяжении 25 лет мы остаемся верны этому вектору».</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«В течение 25 лет наши студенты, аспиранты и сотрудники активно участвуют в EDM. В результате такой активной работы с НГТУ многие защитили кандидатские и докторские диссертации, том числе в области силовой электроники. Конференция EDM – то место, где молодое поколение и специалисты, достаточно давно работающие в отрасли, имеют возможность обменяться мнениями, технологиями и скорректировать вектор движения», – отметил начальник департамента НТС и НТИ, научный руководитель АО «НТЦ ФСК ЕЭС» доктор технических наук, профессор Дмитрий Панфилов.</w:t>
      </w:r>
    </w:p>
    <w:p w:rsidR="00345925" w:rsidRPr="00345925" w:rsidRDefault="00345925" w:rsidP="00345925">
      <w:pPr>
        <w:spacing w:after="160" w:line="259" w:lineRule="auto"/>
        <w:rPr>
          <w:rFonts w:ascii="Times New Roman" w:eastAsia="Calibri" w:hAnsi="Times New Roman" w:cs="Times New Roman"/>
          <w:b/>
          <w:sz w:val="24"/>
          <w:szCs w:val="24"/>
          <w:lang w:val="ru-RU" w:eastAsia="en-US"/>
        </w:rPr>
      </w:pPr>
      <w:r w:rsidRPr="00345925">
        <w:rPr>
          <w:rFonts w:ascii="Times New Roman" w:eastAsia="Calibri" w:hAnsi="Times New Roman" w:cs="Times New Roman"/>
          <w:b/>
          <w:sz w:val="24"/>
          <w:szCs w:val="24"/>
          <w:lang w:val="ru-RU" w:eastAsia="en-US"/>
        </w:rPr>
        <w:t>EDM прирастает новыми форматами</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Старт работе конференции был дан традиционным пленарным заседанием, программные доклады которого посвящены актуальным вопросам развития науки и высокотехнологичных отраслей.</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Представитель одного из ведущих индустриальных партнеров НГТУ НЭТИ, начальник базового центра системного проектирования бортовой электронной аппаратуры космических аппаратов АО «Информационные спутниковые системы» имени академика М.Ф. </w:t>
      </w:r>
      <w:proofErr w:type="spellStart"/>
      <w:r w:rsidRPr="00345925">
        <w:rPr>
          <w:rFonts w:ascii="Times New Roman" w:eastAsia="Calibri" w:hAnsi="Times New Roman" w:cs="Times New Roman"/>
          <w:sz w:val="24"/>
          <w:szCs w:val="24"/>
          <w:lang w:val="ru-RU" w:eastAsia="en-US"/>
        </w:rPr>
        <w:t>Решетнёва</w:t>
      </w:r>
      <w:proofErr w:type="spellEnd"/>
      <w:r w:rsidRPr="00345925">
        <w:rPr>
          <w:rFonts w:ascii="Times New Roman" w:eastAsia="Calibri" w:hAnsi="Times New Roman" w:cs="Times New Roman"/>
          <w:sz w:val="24"/>
          <w:szCs w:val="24"/>
          <w:lang w:val="ru-RU" w:eastAsia="en-US"/>
        </w:rPr>
        <w:t xml:space="preserve"> Дмитрий Дымов представил доклад о приборных, информационных и микроэлектронных технологиях для цифровых платформ космических аппаратов. Выступление заведующего кафедрой электроэнергетических, электромеханических и биотехнических систем Московского авиационного института, доктора технических наук Константина Ковалёва «ВТСП электрические машины» было посвящено преимуществам и перспективным областям применения высокотемпературных сверхпроводниковых материалов.</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«5G для сценариев NTN (</w:t>
      </w:r>
      <w:proofErr w:type="spellStart"/>
      <w:r w:rsidRPr="00345925">
        <w:rPr>
          <w:rFonts w:ascii="Times New Roman" w:eastAsia="Calibri" w:hAnsi="Times New Roman" w:cs="Times New Roman"/>
          <w:sz w:val="24"/>
          <w:szCs w:val="24"/>
          <w:lang w:val="ru-RU" w:eastAsia="en-US"/>
        </w:rPr>
        <w:t>non-terrestrial</w:t>
      </w:r>
      <w:proofErr w:type="spellEnd"/>
      <w:r w:rsidRPr="00345925">
        <w:rPr>
          <w:rFonts w:ascii="Times New Roman" w:eastAsia="Calibri" w:hAnsi="Times New Roman" w:cs="Times New Roman"/>
          <w:sz w:val="24"/>
          <w:szCs w:val="24"/>
          <w:lang w:val="ru-RU" w:eastAsia="en-US"/>
        </w:rPr>
        <w:t xml:space="preserve"> </w:t>
      </w:r>
      <w:proofErr w:type="spellStart"/>
      <w:r w:rsidRPr="00345925">
        <w:rPr>
          <w:rFonts w:ascii="Times New Roman" w:eastAsia="Calibri" w:hAnsi="Times New Roman" w:cs="Times New Roman"/>
          <w:sz w:val="24"/>
          <w:szCs w:val="24"/>
          <w:lang w:val="ru-RU" w:eastAsia="en-US"/>
        </w:rPr>
        <w:t>mobile</w:t>
      </w:r>
      <w:proofErr w:type="spellEnd"/>
      <w:r w:rsidRPr="00345925">
        <w:rPr>
          <w:rFonts w:ascii="Times New Roman" w:eastAsia="Calibri" w:hAnsi="Times New Roman" w:cs="Times New Roman"/>
          <w:sz w:val="24"/>
          <w:szCs w:val="24"/>
          <w:lang w:val="ru-RU" w:eastAsia="en-US"/>
        </w:rPr>
        <w:t xml:space="preserve"> </w:t>
      </w:r>
      <w:proofErr w:type="spellStart"/>
      <w:r w:rsidRPr="00345925">
        <w:rPr>
          <w:rFonts w:ascii="Times New Roman" w:eastAsia="Calibri" w:hAnsi="Times New Roman" w:cs="Times New Roman"/>
          <w:sz w:val="24"/>
          <w:szCs w:val="24"/>
          <w:lang w:val="ru-RU" w:eastAsia="en-US"/>
        </w:rPr>
        <w:t>network</w:t>
      </w:r>
      <w:proofErr w:type="spellEnd"/>
      <w:r w:rsidRPr="00345925">
        <w:rPr>
          <w:rFonts w:ascii="Times New Roman" w:eastAsia="Calibri" w:hAnsi="Times New Roman" w:cs="Times New Roman"/>
          <w:sz w:val="24"/>
          <w:szCs w:val="24"/>
          <w:lang w:val="ru-RU" w:eastAsia="en-US"/>
        </w:rPr>
        <w:t xml:space="preserve">)» – тема доклада заведующей кафедрой телекоммуникационных систем и вычислительных средств Сибирского государственного университета телекоммуникаций и информатики кандидата технических наук, доцента Веры Дроздовой. О </w:t>
      </w:r>
      <w:proofErr w:type="spellStart"/>
      <w:r w:rsidRPr="00345925">
        <w:rPr>
          <w:rFonts w:ascii="Times New Roman" w:eastAsia="Calibri" w:hAnsi="Times New Roman" w:cs="Times New Roman"/>
          <w:sz w:val="24"/>
          <w:szCs w:val="24"/>
          <w:lang w:val="ru-RU" w:eastAsia="en-US"/>
        </w:rPr>
        <w:t>прототипировании</w:t>
      </w:r>
      <w:proofErr w:type="spellEnd"/>
      <w:r w:rsidRPr="00345925">
        <w:rPr>
          <w:rFonts w:ascii="Times New Roman" w:eastAsia="Calibri" w:hAnsi="Times New Roman" w:cs="Times New Roman"/>
          <w:sz w:val="24"/>
          <w:szCs w:val="24"/>
          <w:lang w:val="ru-RU" w:eastAsia="en-US"/>
        </w:rPr>
        <w:t xml:space="preserve"> устройств миллиметрового диапазона в ходе пленарного заседания рассказал менеджер проектов ГК «Научное оборудование» </w:t>
      </w:r>
      <w:proofErr w:type="spellStart"/>
      <w:r w:rsidRPr="00345925">
        <w:rPr>
          <w:rFonts w:ascii="Times New Roman" w:eastAsia="Calibri" w:hAnsi="Times New Roman" w:cs="Times New Roman"/>
          <w:sz w:val="24"/>
          <w:szCs w:val="24"/>
          <w:lang w:val="ru-RU" w:eastAsia="en-US"/>
        </w:rPr>
        <w:t>Бронислав</w:t>
      </w:r>
      <w:proofErr w:type="spellEnd"/>
      <w:r w:rsidRPr="00345925">
        <w:rPr>
          <w:rFonts w:ascii="Times New Roman" w:eastAsia="Calibri" w:hAnsi="Times New Roman" w:cs="Times New Roman"/>
          <w:sz w:val="24"/>
          <w:szCs w:val="24"/>
          <w:lang w:val="ru-RU" w:eastAsia="en-US"/>
        </w:rPr>
        <w:t xml:space="preserve"> </w:t>
      </w:r>
      <w:proofErr w:type="spellStart"/>
      <w:r w:rsidRPr="00345925">
        <w:rPr>
          <w:rFonts w:ascii="Times New Roman" w:eastAsia="Calibri" w:hAnsi="Times New Roman" w:cs="Times New Roman"/>
          <w:sz w:val="24"/>
          <w:szCs w:val="24"/>
          <w:lang w:val="ru-RU" w:eastAsia="en-US"/>
        </w:rPr>
        <w:t>Числов</w:t>
      </w:r>
      <w:proofErr w:type="spellEnd"/>
      <w:r w:rsidRPr="00345925">
        <w:rPr>
          <w:rFonts w:ascii="Times New Roman" w:eastAsia="Calibri" w:hAnsi="Times New Roman" w:cs="Times New Roman"/>
          <w:sz w:val="24"/>
          <w:szCs w:val="24"/>
          <w:lang w:val="ru-RU" w:eastAsia="en-US"/>
        </w:rPr>
        <w:t>.</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Два доклада пленарного заседания представили ученые НГТУ НЭТИ. Заведующий кафедрой </w:t>
      </w:r>
      <w:proofErr w:type="spellStart"/>
      <w:r w:rsidRPr="00345925">
        <w:rPr>
          <w:rFonts w:ascii="Times New Roman" w:eastAsia="Calibri" w:hAnsi="Times New Roman" w:cs="Times New Roman"/>
          <w:sz w:val="24"/>
          <w:szCs w:val="24"/>
          <w:lang w:val="ru-RU" w:eastAsia="en-US"/>
        </w:rPr>
        <w:t>аэрогидродинамики</w:t>
      </w:r>
      <w:proofErr w:type="spellEnd"/>
      <w:r w:rsidRPr="00345925">
        <w:rPr>
          <w:rFonts w:ascii="Times New Roman" w:eastAsia="Calibri" w:hAnsi="Times New Roman" w:cs="Times New Roman"/>
          <w:sz w:val="24"/>
          <w:szCs w:val="24"/>
          <w:lang w:val="ru-RU" w:eastAsia="en-US"/>
        </w:rPr>
        <w:t xml:space="preserve"> НГТУ НЭТИ доктор технических наук, профессор Сергей Саленко посвятил свое выступление успехам и проблемам развития отрасли БАС. Об участии НГТУ НЭТИ в создании Центра коллективного пользования «Сибирский кольцевой источник фотонов» рассказал заведующий научно-</w:t>
      </w:r>
      <w:r w:rsidRPr="00345925">
        <w:rPr>
          <w:rFonts w:ascii="Times New Roman" w:eastAsia="Calibri" w:hAnsi="Times New Roman" w:cs="Times New Roman"/>
          <w:sz w:val="24"/>
          <w:szCs w:val="24"/>
          <w:lang w:val="ru-RU" w:eastAsia="en-US"/>
        </w:rPr>
        <w:lastRenderedPageBreak/>
        <w:t>исследовательской лабораторией физико-химических технологий и функциональных материалов НГТУ НЭТИ, руководитель направления «Научные станции НГТУ в ЦКП «СКИФ» (программа «Приоритет 2030») доктор технических наук Иван Батаев.</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В юбилейный год архитектура конференции дополнена деловой программой. В первый день работы конференции состоялась панельная дискуссия «Проблемы науки и инженерии», модератором которой выступил заведующий кафедрой электротехники и авиационного электрооборудования Московского государственного технического университета гражданской авиации доктор технических наук, профессор Сергей Халютин. Векторы развития силовой энергетической электроники с позиции науки и индустрии обсудили в рамках круглого стола эксперты конференции (модератор – Сергей Харитонов).  </w:t>
      </w:r>
    </w:p>
    <w:p w:rsidR="00345925" w:rsidRPr="00345925" w:rsidRDefault="00345925" w:rsidP="00345925">
      <w:pPr>
        <w:spacing w:after="160" w:line="259" w:lineRule="auto"/>
        <w:rPr>
          <w:rFonts w:ascii="Times New Roman" w:eastAsia="Calibri" w:hAnsi="Times New Roman" w:cs="Times New Roman"/>
          <w:b/>
          <w:sz w:val="24"/>
          <w:szCs w:val="24"/>
          <w:lang w:val="ru-RU" w:eastAsia="en-US"/>
        </w:rPr>
      </w:pPr>
      <w:r w:rsidRPr="00345925">
        <w:rPr>
          <w:rFonts w:ascii="Times New Roman" w:eastAsia="Calibri" w:hAnsi="Times New Roman" w:cs="Times New Roman"/>
          <w:b/>
          <w:sz w:val="24"/>
          <w:szCs w:val="24"/>
          <w:lang w:val="ru-RU" w:eastAsia="en-US"/>
        </w:rPr>
        <w:t>Лучшие доклады EDM-2024</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В этом году оргкомитет конференции получил около 350 заявок, отбор прошли 236 докладов, 122 из которых были представлены очно, 59 докладов подготовлено молодыми учеными НГТУ НЭТИ. Лучшими по итогам выступления признаны 33 доклада.  По традиции, сформированной в 2021 году, экспертное жюри под руководством старшего преподавателя кафедры электронных приборов НГТУ НЭТИ, члена оргкомитета Международной конференции EDM Анны </w:t>
      </w:r>
      <w:proofErr w:type="spellStart"/>
      <w:r w:rsidRPr="00345925">
        <w:rPr>
          <w:rFonts w:ascii="Times New Roman" w:eastAsia="Calibri" w:hAnsi="Times New Roman" w:cs="Times New Roman"/>
          <w:sz w:val="24"/>
          <w:szCs w:val="24"/>
          <w:lang w:val="ru-RU" w:eastAsia="en-US"/>
        </w:rPr>
        <w:t>Казьминой</w:t>
      </w:r>
      <w:proofErr w:type="spellEnd"/>
      <w:r w:rsidRPr="00345925">
        <w:rPr>
          <w:rFonts w:ascii="Times New Roman" w:eastAsia="Calibri" w:hAnsi="Times New Roman" w:cs="Times New Roman"/>
          <w:sz w:val="24"/>
          <w:szCs w:val="24"/>
          <w:lang w:val="ru-RU" w:eastAsia="en-US"/>
        </w:rPr>
        <w:t xml:space="preserve"> определило победителей конкурса «Вовлечение молодых профессионалов», представивших наиболее перспективные и проработанные с точки зрения коммерциализации научные проекты.</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Председателями научных секций, а их в юбилейном году было 11, уже традиционно стали известные ученые. Профессор Сергей Халютин вместе с деканом факультета энергетики НГТУ НЭТИ доктором технических наук, профессором Анастасией </w:t>
      </w:r>
      <w:proofErr w:type="spellStart"/>
      <w:r w:rsidRPr="00345925">
        <w:rPr>
          <w:rFonts w:ascii="Times New Roman" w:eastAsia="Calibri" w:hAnsi="Times New Roman" w:cs="Times New Roman"/>
          <w:sz w:val="24"/>
          <w:szCs w:val="24"/>
          <w:lang w:val="ru-RU" w:eastAsia="en-US"/>
        </w:rPr>
        <w:t>Русиной</w:t>
      </w:r>
      <w:proofErr w:type="spellEnd"/>
      <w:r w:rsidRPr="00345925">
        <w:rPr>
          <w:rFonts w:ascii="Times New Roman" w:eastAsia="Calibri" w:hAnsi="Times New Roman" w:cs="Times New Roman"/>
          <w:sz w:val="24"/>
          <w:szCs w:val="24"/>
          <w:lang w:val="ru-RU" w:eastAsia="en-US"/>
        </w:rPr>
        <w:t xml:space="preserve"> выступили наставниками «дебютировавшей» в юбилейный год секции «Электротехника и электроэнергетика».</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«Моя миссия на этой конференции заключается, во-первых, в том, чтобы показать молодежи, что такое научная работа и с чем придется столкнуться, когда будут представлять результаты своих исследований экспертному сообществу. Второе – помочь молодым ученым методически, подсказать перспективные направления развития их научных исследований», – отметил Сергей Халютин.</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«Мы заслушали 26 докладчиков из разных стран: по возобновляемой энергетике, разработке цифровых двойников, управленческим решениям и иным тематикам. С большой долей вероятности на профильных конференциях эти темы будут разнесены по разным секциям, а конференция EDM в очередной раз доказала, что междисциплинарный подход позволяет решать нужные и важные вопросы», – подвела итоги работы секции Анастасия Русина.</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Второй год в рамках EDM была организована секция, посвященная генерации и применению синхротронного излучения. Учитывая создание ЦКП «СКИФ» на территории Новосибирской области, председатели секции – заведующий сектором 8-21 Института ядерной физики имени Г. И. </w:t>
      </w:r>
      <w:proofErr w:type="spellStart"/>
      <w:r w:rsidRPr="00345925">
        <w:rPr>
          <w:rFonts w:ascii="Times New Roman" w:eastAsia="Calibri" w:hAnsi="Times New Roman" w:cs="Times New Roman"/>
          <w:sz w:val="24"/>
          <w:szCs w:val="24"/>
          <w:lang w:val="ru-RU" w:eastAsia="en-US"/>
        </w:rPr>
        <w:t>Будкера</w:t>
      </w:r>
      <w:proofErr w:type="spellEnd"/>
      <w:r w:rsidRPr="00345925">
        <w:rPr>
          <w:rFonts w:ascii="Times New Roman" w:eastAsia="Calibri" w:hAnsi="Times New Roman" w:cs="Times New Roman"/>
          <w:sz w:val="24"/>
          <w:szCs w:val="24"/>
          <w:lang w:val="ru-RU" w:eastAsia="en-US"/>
        </w:rPr>
        <w:t xml:space="preserve"> СО РАН кандидат физико-математических наук Константин Золотарев и доцент кафедры электронных приборов НГТУ НЭТИ кандидат технических наук, доцент Александр Беркин – отметили необходимость появления новых тематических подсекций по тематике синхротронного излучения в следующем году.</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lastRenderedPageBreak/>
        <w:t xml:space="preserve">Наиболее многочисленной по сложившейся традиции стала секция «Радиотехнические системы и телекоммуникации», председателями которой являются заведующий кафедрой радиоприемных и радиопередающих устройств НГТУ НЭТИ доктор технических наук, доцент Максим Степанов и заведующая кафедрой радиотехнических систем </w:t>
      </w:r>
      <w:proofErr w:type="spellStart"/>
      <w:r w:rsidRPr="00345925">
        <w:rPr>
          <w:rFonts w:ascii="Times New Roman" w:eastAsia="Calibri" w:hAnsi="Times New Roman" w:cs="Times New Roman"/>
          <w:sz w:val="24"/>
          <w:szCs w:val="24"/>
          <w:lang w:val="ru-RU" w:eastAsia="en-US"/>
        </w:rPr>
        <w:t>СибГУТИ</w:t>
      </w:r>
      <w:proofErr w:type="spellEnd"/>
      <w:r w:rsidRPr="00345925">
        <w:rPr>
          <w:rFonts w:ascii="Times New Roman" w:eastAsia="Calibri" w:hAnsi="Times New Roman" w:cs="Times New Roman"/>
          <w:sz w:val="24"/>
          <w:szCs w:val="24"/>
          <w:lang w:val="ru-RU" w:eastAsia="en-US"/>
        </w:rPr>
        <w:t xml:space="preserve"> кандидат технических наук, доцент Светлана Воробьева. На секции было представлено 47 докладов молодых ученых.</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 xml:space="preserve">Как отметил руководитель организационной группы EDM 2024 Андрей Никулин, в этом году удалось добиться поддержки международного сообщества IEEE </w:t>
      </w:r>
      <w:proofErr w:type="spellStart"/>
      <w:r w:rsidRPr="00345925">
        <w:rPr>
          <w:rFonts w:ascii="Times New Roman" w:eastAsia="Calibri" w:hAnsi="Times New Roman" w:cs="Times New Roman"/>
          <w:sz w:val="24"/>
          <w:szCs w:val="24"/>
          <w:lang w:val="ru-RU" w:eastAsia="en-US"/>
        </w:rPr>
        <w:t>Industry</w:t>
      </w:r>
      <w:proofErr w:type="spellEnd"/>
      <w:r w:rsidRPr="00345925">
        <w:rPr>
          <w:rFonts w:ascii="Times New Roman" w:eastAsia="Calibri" w:hAnsi="Times New Roman" w:cs="Times New Roman"/>
          <w:sz w:val="24"/>
          <w:szCs w:val="24"/>
          <w:lang w:val="ru-RU" w:eastAsia="en-US"/>
        </w:rPr>
        <w:t xml:space="preserve"> </w:t>
      </w:r>
      <w:proofErr w:type="spellStart"/>
      <w:r w:rsidRPr="00345925">
        <w:rPr>
          <w:rFonts w:ascii="Times New Roman" w:eastAsia="Calibri" w:hAnsi="Times New Roman" w:cs="Times New Roman"/>
          <w:sz w:val="24"/>
          <w:szCs w:val="24"/>
          <w:lang w:val="ru-RU" w:eastAsia="en-US"/>
        </w:rPr>
        <w:t>Applications</w:t>
      </w:r>
      <w:proofErr w:type="spellEnd"/>
      <w:r w:rsidRPr="00345925">
        <w:rPr>
          <w:rFonts w:ascii="Times New Roman" w:eastAsia="Calibri" w:hAnsi="Times New Roman" w:cs="Times New Roman"/>
          <w:sz w:val="24"/>
          <w:szCs w:val="24"/>
          <w:lang w:val="ru-RU" w:eastAsia="en-US"/>
        </w:rPr>
        <w:t xml:space="preserve"> </w:t>
      </w:r>
      <w:proofErr w:type="spellStart"/>
      <w:r w:rsidRPr="00345925">
        <w:rPr>
          <w:rFonts w:ascii="Times New Roman" w:eastAsia="Calibri" w:hAnsi="Times New Roman" w:cs="Times New Roman"/>
          <w:sz w:val="24"/>
          <w:szCs w:val="24"/>
          <w:lang w:val="ru-RU" w:eastAsia="en-US"/>
        </w:rPr>
        <w:t>Society</w:t>
      </w:r>
      <w:proofErr w:type="spellEnd"/>
      <w:r w:rsidRPr="00345925">
        <w:rPr>
          <w:rFonts w:ascii="Times New Roman" w:eastAsia="Calibri" w:hAnsi="Times New Roman" w:cs="Times New Roman"/>
          <w:sz w:val="24"/>
          <w:szCs w:val="24"/>
          <w:lang w:val="ru-RU" w:eastAsia="en-US"/>
        </w:rPr>
        <w:t>, что позволяет по итогам конференции рекомендовать расширенные версии лучших докладов, соответствующих научному направлению сообщества, в журналы Q1-Q4.</w:t>
      </w:r>
    </w:p>
    <w:p w:rsidR="00345925" w:rsidRPr="00345925" w:rsidRDefault="00345925" w:rsidP="00345925">
      <w:pPr>
        <w:spacing w:after="160" w:line="259" w:lineRule="auto"/>
        <w:rPr>
          <w:rFonts w:ascii="Times New Roman" w:eastAsia="Calibri" w:hAnsi="Times New Roman" w:cs="Times New Roman"/>
          <w:sz w:val="24"/>
          <w:szCs w:val="24"/>
          <w:lang w:val="ru-RU" w:eastAsia="en-US"/>
        </w:rPr>
      </w:pPr>
      <w:r w:rsidRPr="00345925">
        <w:rPr>
          <w:rFonts w:ascii="Times New Roman" w:eastAsia="Calibri" w:hAnsi="Times New Roman" w:cs="Times New Roman"/>
          <w:sz w:val="24"/>
          <w:szCs w:val="24"/>
          <w:lang w:val="ru-RU" w:eastAsia="en-US"/>
        </w:rPr>
        <w:t>За четверть века конференция EDM приобрела традиции, которые поддерживаются организаторами и участниками: место проведения – университетская база отдыха «</w:t>
      </w:r>
      <w:proofErr w:type="spellStart"/>
      <w:r w:rsidRPr="00345925">
        <w:rPr>
          <w:rFonts w:ascii="Times New Roman" w:eastAsia="Calibri" w:hAnsi="Times New Roman" w:cs="Times New Roman"/>
          <w:sz w:val="24"/>
          <w:szCs w:val="24"/>
          <w:lang w:val="ru-RU" w:eastAsia="en-US"/>
        </w:rPr>
        <w:t>Эрлагол</w:t>
      </w:r>
      <w:proofErr w:type="spellEnd"/>
      <w:r w:rsidRPr="00345925">
        <w:rPr>
          <w:rFonts w:ascii="Times New Roman" w:eastAsia="Calibri" w:hAnsi="Times New Roman" w:cs="Times New Roman"/>
          <w:sz w:val="24"/>
          <w:szCs w:val="24"/>
          <w:lang w:val="ru-RU" w:eastAsia="en-US"/>
        </w:rPr>
        <w:t xml:space="preserve">» в Горном Алтае, неизменные утренние зарядки и волейбольный турнир, победу в котором в этом году одержала «Мечта команды», экскурсии по живописным местам </w:t>
      </w:r>
      <w:proofErr w:type="spellStart"/>
      <w:r w:rsidRPr="00345925">
        <w:rPr>
          <w:rFonts w:ascii="Times New Roman" w:eastAsia="Calibri" w:hAnsi="Times New Roman" w:cs="Times New Roman"/>
          <w:sz w:val="24"/>
          <w:szCs w:val="24"/>
          <w:lang w:val="ru-RU" w:eastAsia="en-US"/>
        </w:rPr>
        <w:t>Чемальского</w:t>
      </w:r>
      <w:proofErr w:type="spellEnd"/>
      <w:r w:rsidRPr="00345925">
        <w:rPr>
          <w:rFonts w:ascii="Times New Roman" w:eastAsia="Calibri" w:hAnsi="Times New Roman" w:cs="Times New Roman"/>
          <w:sz w:val="24"/>
          <w:szCs w:val="24"/>
          <w:lang w:val="ru-RU" w:eastAsia="en-US"/>
        </w:rPr>
        <w:t xml:space="preserve"> района и, конечно, большой научный костер.</w:t>
      </w:r>
    </w:p>
    <w:p w:rsidR="006070DE" w:rsidRDefault="007B2BF0">
      <w:pPr>
        <w:shd w:val="clear" w:color="auto" w:fill="FFFFFF"/>
        <w:spacing w:line="240" w:lineRule="auto"/>
        <w:rPr>
          <w:sz w:val="28"/>
          <w:szCs w:val="28"/>
        </w:rPr>
      </w:pPr>
      <w:r>
        <w:rPr>
          <w:sz w:val="28"/>
          <w:szCs w:val="28"/>
        </w:rPr>
        <w:t>_________________________________________________________</w:t>
      </w:r>
    </w:p>
    <w:p w:rsidR="007B2BF0" w:rsidRDefault="007B2BF0"/>
    <w:p w:rsidR="006070DE" w:rsidRDefault="007B2BF0">
      <w:r>
        <w:t>Для СМИ</w:t>
      </w:r>
    </w:p>
    <w:p w:rsidR="006070DE" w:rsidRDefault="007B2BF0">
      <w:pPr>
        <w:rPr>
          <w:lang w:val="ru-RU"/>
        </w:rPr>
      </w:pPr>
      <w:r w:rsidRPr="007B2BF0">
        <w:rPr>
          <w:lang w:val="ru-RU"/>
        </w:rPr>
        <w:t>Пресс-секретарь НГТУ НЭТИ Елена Танажко, is@nstu.ru, +7-913-398-50-49</w:t>
      </w:r>
    </w:p>
    <w:p w:rsidR="000B4FC0" w:rsidRDefault="000B4FC0" w:rsidP="000B4FC0">
      <w:pPr>
        <w:shd w:val="clear" w:color="auto" w:fill="FFFFFF"/>
        <w:spacing w:line="240" w:lineRule="auto"/>
        <w:rPr>
          <w:sz w:val="28"/>
          <w:szCs w:val="28"/>
        </w:rPr>
      </w:pPr>
      <w:r>
        <w:rPr>
          <w:sz w:val="28"/>
          <w:szCs w:val="28"/>
        </w:rPr>
        <w:t>_________________________________________________________</w:t>
      </w:r>
    </w:p>
    <w:p w:rsidR="006070DE" w:rsidRDefault="006070DE">
      <w:pPr>
        <w:rPr>
          <w:color w:val="0000FF"/>
          <w:u w:val="single"/>
        </w:rPr>
      </w:pPr>
    </w:p>
    <w:tbl>
      <w:tblPr>
        <w:tblStyle w:val="a5"/>
        <w:tblW w:w="9223" w:type="dxa"/>
        <w:tblInd w:w="0" w:type="dxa"/>
        <w:tblLayout w:type="fixed"/>
        <w:tblLook w:val="0400" w:firstRow="0" w:lastRow="0" w:firstColumn="0" w:lastColumn="0" w:noHBand="0" w:noVBand="1"/>
      </w:tblPr>
      <w:tblGrid>
        <w:gridCol w:w="2552"/>
        <w:gridCol w:w="2977"/>
        <w:gridCol w:w="2694"/>
        <w:gridCol w:w="250"/>
        <w:gridCol w:w="250"/>
        <w:gridCol w:w="250"/>
        <w:gridCol w:w="250"/>
      </w:tblGrid>
      <w:tr w:rsidR="000B4FC0" w:rsidTr="000B4FC0">
        <w:tc>
          <w:tcPr>
            <w:tcW w:w="2552" w:type="dxa"/>
            <w:shd w:val="clear" w:color="auto" w:fill="auto"/>
          </w:tcPr>
          <w:p w:rsidR="000B4FC0" w:rsidRDefault="00A647F7">
            <w:pPr>
              <w:tabs>
                <w:tab w:val="center" w:pos="4677"/>
                <w:tab w:val="right" w:pos="9355"/>
              </w:tabs>
              <w:rPr>
                <w:lang w:val="ru-RU"/>
              </w:rPr>
            </w:pPr>
            <w:r>
              <w:pict>
                <v:shape id="Рисунок 3" o:spid="_x0000_i1027" type="#_x0000_t75" style="width:12pt;height:12.75pt;visibility:visible;mso-wrap-style:square">
                  <v:imagedata r:id="rId6" o:title=""/>
                </v:shape>
              </w:pict>
            </w:r>
            <w:r w:rsidR="000B4FC0">
              <w:rPr>
                <w:lang w:val="ru-RU"/>
              </w:rPr>
              <w:t xml:space="preserve"> </w:t>
            </w:r>
            <w:hyperlink r:id="rId7" w:history="1">
              <w:proofErr w:type="spellStart"/>
              <w:r w:rsidR="000B4FC0">
                <w:rPr>
                  <w:rStyle w:val="a7"/>
                  <w:lang w:val="ru-RU"/>
                </w:rPr>
                <w:t>Яндекс.Дзен</w:t>
              </w:r>
              <w:proofErr w:type="spellEnd"/>
            </w:hyperlink>
          </w:p>
          <w:p w:rsidR="000B4FC0" w:rsidRDefault="000B4FC0">
            <w:pPr>
              <w:tabs>
                <w:tab w:val="center" w:pos="4677"/>
                <w:tab w:val="right" w:pos="9355"/>
              </w:tabs>
              <w:rPr>
                <w:lang w:val="en-US"/>
              </w:rPr>
            </w:pPr>
            <w:r>
              <w:rPr>
                <w:noProof/>
                <w:lang w:val="ru-RU"/>
              </w:rPr>
              <w:drawing>
                <wp:inline distT="0" distB="0" distL="0" distR="0" wp14:anchorId="1A7B85AE" wp14:editId="0FC42E8B">
                  <wp:extent cx="152400" cy="1524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color w:val="0000FF"/>
                <w:u w:val="single"/>
                <w:lang w:val="ru-RU"/>
              </w:rPr>
              <w:t xml:space="preserve"> ВКонтакте</w:t>
            </w:r>
          </w:p>
        </w:tc>
        <w:tc>
          <w:tcPr>
            <w:tcW w:w="2977" w:type="dxa"/>
            <w:shd w:val="clear" w:color="auto" w:fill="auto"/>
          </w:tcPr>
          <w:p w:rsidR="000B4FC0" w:rsidRDefault="00A647F7">
            <w:pPr>
              <w:tabs>
                <w:tab w:val="center" w:pos="4677"/>
                <w:tab w:val="right" w:pos="9355"/>
              </w:tabs>
              <w:ind w:left="-113" w:firstLine="113"/>
              <w:rPr>
                <w:lang w:val="ru-RU"/>
              </w:rPr>
            </w:pPr>
            <w:r>
              <w:pict>
                <v:shape id="Рисунок 10" o:spid="_x0000_i1028" type="#_x0000_t75" style="width:13.5pt;height:13.5pt;visibility:visible;mso-wrap-style:square">
                  <v:imagedata r:id="rId9" o:title=""/>
                </v:shape>
              </w:pict>
            </w:r>
            <w:r w:rsidR="000B4FC0">
              <w:rPr>
                <w:lang w:val="en-US"/>
              </w:rPr>
              <w:t xml:space="preserve"> </w:t>
            </w:r>
            <w:hyperlink r:id="rId10" w:history="1">
              <w:r w:rsidR="000B4FC0">
                <w:rPr>
                  <w:rStyle w:val="a7"/>
                  <w:lang w:val="ru-RU"/>
                </w:rPr>
                <w:t>Телеграм</w:t>
              </w:r>
            </w:hyperlink>
          </w:p>
          <w:p w:rsidR="000B4FC0" w:rsidRDefault="000B4FC0">
            <w:pPr>
              <w:tabs>
                <w:tab w:val="center" w:pos="4677"/>
                <w:tab w:val="right" w:pos="9355"/>
              </w:tabs>
              <w:ind w:left="-113" w:firstLine="113"/>
              <w:rPr>
                <w:lang w:val="ru-RU"/>
              </w:rPr>
            </w:pPr>
            <w:r>
              <w:rPr>
                <w:noProof/>
                <w:lang w:val="ru-RU"/>
              </w:rPr>
              <w:drawing>
                <wp:inline distT="0" distB="0" distL="0" distR="0" wp14:anchorId="743A4529" wp14:editId="7A7C3EB6">
                  <wp:extent cx="152400" cy="152400"/>
                  <wp:effectExtent l="0" t="0" r="0" b="0"/>
                  <wp:docPr id="9"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3"/>
                          <a:stretch>
                            <a:fillRect/>
                          </a:stretch>
                        </pic:blipFill>
                        <pic:spPr>
                          <a:xfrm>
                            <a:off x="0" y="0"/>
                            <a:ext cx="152400" cy="152400"/>
                          </a:xfrm>
                          <a:prstGeom prst="rect">
                            <a:avLst/>
                          </a:prstGeom>
                          <a:ln/>
                        </pic:spPr>
                      </pic:pic>
                    </a:graphicData>
                  </a:graphic>
                </wp:inline>
              </w:drawing>
            </w:r>
            <w:r>
              <w:rPr>
                <w:lang w:val="en-US"/>
              </w:rPr>
              <w:t xml:space="preserve"> </w:t>
            </w:r>
            <w:hyperlink r:id="rId12" w:history="1">
              <w:r>
                <w:rPr>
                  <w:rStyle w:val="a7"/>
                  <w:lang w:val="ru-RU"/>
                </w:rPr>
                <w:t>Фото и видео</w:t>
              </w:r>
            </w:hyperlink>
          </w:p>
          <w:p w:rsidR="000B4FC0" w:rsidRDefault="000B4FC0">
            <w:pPr>
              <w:tabs>
                <w:tab w:val="center" w:pos="4677"/>
                <w:tab w:val="right" w:pos="9355"/>
              </w:tabs>
              <w:ind w:left="714"/>
              <w:rPr>
                <w:lang w:val="en-US"/>
              </w:rPr>
            </w:pPr>
          </w:p>
        </w:tc>
        <w:tc>
          <w:tcPr>
            <w:tcW w:w="2694" w:type="dxa"/>
            <w:shd w:val="clear" w:color="auto" w:fill="auto"/>
          </w:tcPr>
          <w:p w:rsidR="000B4FC0" w:rsidRDefault="000B4FC0">
            <w:pPr>
              <w:tabs>
                <w:tab w:val="center" w:pos="4677"/>
                <w:tab w:val="right" w:pos="9355"/>
              </w:tabs>
              <w:rPr>
                <w:lang w:val="en-US"/>
              </w:rPr>
            </w:pPr>
            <w:r>
              <w:rPr>
                <w:noProof/>
                <w:lang w:val="ru-RU"/>
              </w:rPr>
              <w:drawing>
                <wp:inline distT="0" distB="0" distL="0" distR="0" wp14:anchorId="0B7EC009" wp14:editId="1899CCBF">
                  <wp:extent cx="142875" cy="15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42875" cy="152400"/>
                          </a:xfrm>
                          <a:prstGeom prst="rect">
                            <a:avLst/>
                          </a:prstGeom>
                          <a:ln/>
                        </pic:spPr>
                      </pic:pic>
                    </a:graphicData>
                  </a:graphic>
                </wp:inline>
              </w:drawing>
            </w:r>
            <w:r>
              <w:rPr>
                <w:lang w:val="ru-RU"/>
              </w:rPr>
              <w:t xml:space="preserve"> </w:t>
            </w:r>
            <w:hyperlink r:id="rId14">
              <w:r>
                <w:rPr>
                  <w:color w:val="0000FF"/>
                  <w:u w:val="single"/>
                  <w:lang w:val="ru-RU"/>
                </w:rPr>
                <w:t>Новости</w:t>
              </w:r>
            </w:hyperlink>
          </w:p>
          <w:p w:rsidR="000B4FC0" w:rsidRDefault="000B4FC0">
            <w:pPr>
              <w:tabs>
                <w:tab w:val="center" w:pos="4677"/>
                <w:tab w:val="right" w:pos="9355"/>
              </w:tabs>
              <w:rPr>
                <w:lang w:val="ru-RU"/>
              </w:rPr>
            </w:pPr>
            <w:r>
              <w:rPr>
                <w:noProof/>
                <w:lang w:val="ru-RU"/>
              </w:rPr>
              <w:drawing>
                <wp:inline distT="0" distB="0" distL="0" distR="0" wp14:anchorId="5F508D0F" wp14:editId="304051D7">
                  <wp:extent cx="152400" cy="142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52400" cy="142875"/>
                          </a:xfrm>
                          <a:prstGeom prst="rect">
                            <a:avLst/>
                          </a:prstGeom>
                          <a:ln/>
                        </pic:spPr>
                      </pic:pic>
                    </a:graphicData>
                  </a:graphic>
                </wp:inline>
              </w:drawing>
            </w:r>
            <w:r>
              <w:rPr>
                <w:lang w:val="ru-RU"/>
              </w:rPr>
              <w:t xml:space="preserve"> </w:t>
            </w:r>
            <w:hyperlink r:id="rId16">
              <w:r>
                <w:rPr>
                  <w:color w:val="0000FF"/>
                  <w:u w:val="single"/>
                  <w:lang w:val="ru-RU"/>
                </w:rPr>
                <w:t>Пресс</w:t>
              </w:r>
            </w:hyperlink>
            <w:r>
              <w:rPr>
                <w:color w:val="0000FF"/>
                <w:u w:val="single"/>
                <w:lang w:val="ru-RU"/>
              </w:rPr>
              <w:t>-релизы</w:t>
            </w:r>
          </w:p>
        </w:tc>
        <w:tc>
          <w:tcPr>
            <w:tcW w:w="250" w:type="dxa"/>
          </w:tcPr>
          <w:p w:rsidR="000B4FC0" w:rsidRDefault="000B4FC0">
            <w:pPr>
              <w:tabs>
                <w:tab w:val="center" w:pos="4677"/>
                <w:tab w:val="right" w:pos="9355"/>
              </w:tabs>
              <w:rPr>
                <w:lang w:val="ru-RU"/>
              </w:rPr>
            </w:pPr>
          </w:p>
        </w:tc>
        <w:tc>
          <w:tcPr>
            <w:tcW w:w="250" w:type="dxa"/>
          </w:tcPr>
          <w:p w:rsidR="000B4FC0" w:rsidRDefault="000B4FC0">
            <w:pPr>
              <w:tabs>
                <w:tab w:val="center" w:pos="4677"/>
                <w:tab w:val="right" w:pos="9355"/>
              </w:tabs>
              <w:rPr>
                <w:lang w:val="ru-RU"/>
              </w:rPr>
            </w:pPr>
            <w:r>
              <w:rPr>
                <w:lang w:val="ru-RU"/>
              </w:rPr>
              <w:t xml:space="preserve">      </w:t>
            </w:r>
          </w:p>
        </w:tc>
        <w:tc>
          <w:tcPr>
            <w:tcW w:w="250" w:type="dxa"/>
          </w:tcPr>
          <w:p w:rsidR="000B4FC0" w:rsidRPr="000B4FC0" w:rsidRDefault="000B4FC0">
            <w:pPr>
              <w:tabs>
                <w:tab w:val="center" w:pos="4677"/>
                <w:tab w:val="right" w:pos="9355"/>
              </w:tabs>
              <w:rPr>
                <w:lang w:val="ru-RU"/>
              </w:rPr>
            </w:pPr>
            <w:r>
              <w:rPr>
                <w:lang w:val="ru-RU"/>
              </w:rPr>
              <w:t xml:space="preserve"> </w:t>
            </w:r>
          </w:p>
        </w:tc>
        <w:tc>
          <w:tcPr>
            <w:tcW w:w="250" w:type="dxa"/>
            <w:shd w:val="clear" w:color="auto" w:fill="auto"/>
          </w:tcPr>
          <w:p w:rsidR="000B4FC0" w:rsidRDefault="000B4FC0">
            <w:pPr>
              <w:tabs>
                <w:tab w:val="center" w:pos="4677"/>
                <w:tab w:val="right" w:pos="9355"/>
              </w:tabs>
              <w:rPr>
                <w:lang w:val="en-US"/>
              </w:rPr>
            </w:pPr>
          </w:p>
        </w:tc>
      </w:tr>
    </w:tbl>
    <w:p w:rsidR="006070DE" w:rsidRDefault="006070DE">
      <w:pPr>
        <w:rPr>
          <w:rFonts w:ascii="Times New Roman" w:eastAsia="Times New Roman" w:hAnsi="Times New Roman" w:cs="Times New Roman"/>
          <w:sz w:val="28"/>
          <w:szCs w:val="28"/>
        </w:rPr>
      </w:pPr>
    </w:p>
    <w:sectPr w:rsidR="006070DE">
      <w:pgSz w:w="11909" w:h="16834"/>
      <w:pgMar w:top="851" w:right="1440" w:bottom="85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33.75pt;height:327.75pt;visibility:visible;mso-wrap-style:square" o:bullet="t">
        <v:imagedata r:id="rId1" o:title=""/>
      </v:shape>
    </w:pict>
  </w:numPicBullet>
  <w:numPicBullet w:numPicBulletId="1">
    <w:pict>
      <v:shape id="_x0000_i1045" type="#_x0000_t75" style="width:637.5pt;height:638.25pt;visibility:visible;mso-wrap-style:square" o:bullet="t">
        <v:imagedata r:id="rId2" o:title=""/>
      </v:shape>
    </w:pict>
  </w:numPicBullet>
  <w:abstractNum w:abstractNumId="0" w15:restartNumberingAfterBreak="0">
    <w:nsid w:val="02EF32EE"/>
    <w:multiLevelType w:val="multilevel"/>
    <w:tmpl w:val="1EC83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DD73B0"/>
    <w:multiLevelType w:val="hybridMultilevel"/>
    <w:tmpl w:val="CEA65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0DE"/>
    <w:rsid w:val="000B4FC0"/>
    <w:rsid w:val="00345925"/>
    <w:rsid w:val="006070DE"/>
    <w:rsid w:val="007B2BF0"/>
    <w:rsid w:val="00A647F7"/>
    <w:rsid w:val="00AD32FD"/>
    <w:rsid w:val="00D54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600AED-8E49-4316-8B9C-1D5FF12C5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paragraph" w:styleId="a6">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7">
    <w:name w:val="Hyperlink"/>
    <w:basedOn w:val="a0"/>
    <w:uiPriority w:val="99"/>
    <w:unhideWhenUsed/>
    <w:rPr>
      <w:color w:val="0000FF"/>
      <w:u w:val="single"/>
    </w:rPr>
  </w:style>
  <w:style w:type="character" w:styleId="a8">
    <w:name w:val="Strong"/>
    <w:basedOn w:val="a0"/>
    <w:uiPriority w:val="22"/>
    <w:qFormat/>
    <w:rPr>
      <w:b/>
      <w:bCs/>
    </w:rPr>
  </w:style>
  <w:style w:type="character" w:styleId="a9">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394721">
      <w:bodyDiv w:val="1"/>
      <w:marLeft w:val="0"/>
      <w:marRight w:val="0"/>
      <w:marTop w:val="0"/>
      <w:marBottom w:val="0"/>
      <w:divBdr>
        <w:top w:val="none" w:sz="0" w:space="0" w:color="auto"/>
        <w:left w:val="none" w:sz="0" w:space="0" w:color="auto"/>
        <w:bottom w:val="none" w:sz="0" w:space="0" w:color="auto"/>
        <w:right w:val="none" w:sz="0" w:space="0" w:color="auto"/>
      </w:divBdr>
      <w:divsChild>
        <w:div w:id="935016079">
          <w:marLeft w:val="0"/>
          <w:marRight w:val="0"/>
          <w:marTop w:val="0"/>
          <w:marBottom w:val="0"/>
          <w:divBdr>
            <w:top w:val="none" w:sz="0" w:space="0" w:color="auto"/>
            <w:left w:val="none" w:sz="0" w:space="0" w:color="auto"/>
            <w:bottom w:val="none" w:sz="0" w:space="0" w:color="auto"/>
            <w:right w:val="none" w:sz="0" w:space="0" w:color="auto"/>
          </w:divBdr>
        </w:div>
        <w:div w:id="337004960">
          <w:marLeft w:val="0"/>
          <w:marRight w:val="0"/>
          <w:marTop w:val="0"/>
          <w:marBottom w:val="0"/>
          <w:divBdr>
            <w:top w:val="none" w:sz="0" w:space="0" w:color="auto"/>
            <w:left w:val="none" w:sz="0" w:space="0" w:color="auto"/>
            <w:bottom w:val="none" w:sz="0" w:space="0" w:color="auto"/>
            <w:right w:val="none" w:sz="0" w:space="0" w:color="auto"/>
          </w:divBdr>
          <w:divsChild>
            <w:div w:id="429786248">
              <w:marLeft w:val="-38"/>
              <w:marRight w:val="-38"/>
              <w:marTop w:val="0"/>
              <w:marBottom w:val="390"/>
              <w:divBdr>
                <w:top w:val="none" w:sz="0" w:space="0" w:color="auto"/>
                <w:left w:val="none" w:sz="0" w:space="0" w:color="auto"/>
                <w:bottom w:val="none" w:sz="0" w:space="0" w:color="auto"/>
                <w:right w:val="none" w:sz="0" w:space="0" w:color="auto"/>
              </w:divBdr>
            </w:div>
            <w:div w:id="415640426">
              <w:marLeft w:val="-150"/>
              <w:marRight w:val="-150"/>
              <w:marTop w:val="0"/>
              <w:marBottom w:val="0"/>
              <w:divBdr>
                <w:top w:val="none" w:sz="0" w:space="0" w:color="auto"/>
                <w:left w:val="none" w:sz="0" w:space="0" w:color="auto"/>
                <w:bottom w:val="none" w:sz="0" w:space="0" w:color="auto"/>
                <w:right w:val="none" w:sz="0" w:space="0" w:color="auto"/>
              </w:divBdr>
              <w:divsChild>
                <w:div w:id="155812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zen.ru/nstu_neti" TargetMode="External"/><Relationship Id="rId12" Type="http://schemas.openxmlformats.org/officeDocument/2006/relationships/hyperlink" Target="https://www.nstu.ru/media/foto_vide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stu.ru/pressreleases"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image" Target="media/image3.jpeg"/><Relationship Id="rId15" Type="http://schemas.openxmlformats.org/officeDocument/2006/relationships/image" Target="media/image7.png"/><Relationship Id="rId10" Type="http://schemas.openxmlformats.org/officeDocument/2006/relationships/hyperlink" Target="https://t.me/nstu_net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nstu.ru/new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1540</Words>
  <Characters>8781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User</cp:lastModifiedBy>
  <cp:revision>3</cp:revision>
  <dcterms:created xsi:type="dcterms:W3CDTF">2024-07-05T04:03:00Z</dcterms:created>
  <dcterms:modified xsi:type="dcterms:W3CDTF">2024-07-05T04:43:00Z</dcterms:modified>
</cp:coreProperties>
</file>