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F877D4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1</w:t>
      </w:r>
      <w:r w:rsidR="003E3F17">
        <w:rPr>
          <w:rFonts w:ascii="Times New Roman" w:eastAsia="Times New Roman" w:hAnsi="Times New Roman" w:cs="Times New Roman"/>
          <w:b/>
        </w:rPr>
        <w:t>4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FB1F9A" w:rsidRPr="00F877D4">
        <w:rPr>
          <w:rFonts w:ascii="Times New Roman" w:eastAsia="Times New Roman" w:hAnsi="Times New Roman" w:cs="Times New Roman"/>
          <w:b/>
        </w:rPr>
        <w:t>ноя</w:t>
      </w:r>
      <w:r w:rsidR="00E90A58" w:rsidRPr="00F877D4">
        <w:rPr>
          <w:rFonts w:ascii="Times New Roman" w:eastAsia="Times New Roman" w:hAnsi="Times New Roman" w:cs="Times New Roman"/>
          <w:b/>
        </w:rPr>
        <w:t>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E3F17" w:rsidRDefault="003E3F17" w:rsidP="003E3F17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E3F17">
        <w:rPr>
          <w:rFonts w:ascii="Times New Roman" w:hAnsi="Times New Roman" w:cs="Times New Roman"/>
          <w:b/>
          <w:sz w:val="26"/>
          <w:szCs w:val="26"/>
        </w:rPr>
        <w:t>Инновационные методы генерации лазерных импульсов разрабатываются в НГТУ НЭТИ</w:t>
      </w:r>
    </w:p>
    <w:p w:rsidR="003E3F17" w:rsidRPr="00530662" w:rsidRDefault="003E3F17" w:rsidP="003E3F17">
      <w:pPr>
        <w:rPr>
          <w:rFonts w:ascii="Times New Roman" w:hAnsi="Times New Roman" w:cs="Times New Roman"/>
          <w:b/>
          <w:sz w:val="26"/>
          <w:szCs w:val="26"/>
        </w:rPr>
      </w:pPr>
      <w:r w:rsidRPr="00530662">
        <w:rPr>
          <w:rFonts w:ascii="Times New Roman" w:hAnsi="Times New Roman" w:cs="Times New Roman"/>
          <w:b/>
          <w:sz w:val="26"/>
          <w:szCs w:val="26"/>
        </w:rPr>
        <w:t>В Новосибирском государственном техническом университете НЭТИ разрабатываются новые методы формирования и управления лазерными импульсами, которые позволяют повысить надежность и энергетическую эффективность лазерных источников, а также расширить их функциональные возможности для реше</w:t>
      </w:r>
      <w:bookmarkStart w:id="0" w:name="_GoBack"/>
      <w:bookmarkEnd w:id="0"/>
      <w:r w:rsidRPr="00530662">
        <w:rPr>
          <w:rFonts w:ascii="Times New Roman" w:hAnsi="Times New Roman" w:cs="Times New Roman"/>
          <w:b/>
          <w:sz w:val="26"/>
          <w:szCs w:val="26"/>
        </w:rPr>
        <w:t xml:space="preserve">ния различных прикладных задач. </w:t>
      </w:r>
    </w:p>
    <w:p w:rsidR="003E3F17" w:rsidRPr="00530662" w:rsidRDefault="003E3F17" w:rsidP="003E3F17">
      <w:pPr>
        <w:rPr>
          <w:rFonts w:ascii="Times New Roman" w:hAnsi="Times New Roman" w:cs="Times New Roman"/>
          <w:sz w:val="26"/>
          <w:szCs w:val="26"/>
        </w:rPr>
      </w:pPr>
      <w:r w:rsidRPr="00530662">
        <w:rPr>
          <w:rFonts w:ascii="Times New Roman" w:hAnsi="Times New Roman" w:cs="Times New Roman"/>
          <w:sz w:val="26"/>
          <w:szCs w:val="26"/>
        </w:rPr>
        <w:t>Расширение функциональных возможностей и улучшение эксплуатационных характеристик лазерных устройств, которые сегодня находят свое применение в различных высокотехнологических сферах (от промышленности до медицины и косметологии, от оптической связи и навигации до фундаментальной и прикладной метрологии), требует новых, более эффективных методов формирования и управления лазерными импульсами. Среди таких методов — использование новых физических механизмов и способов модуляции лазерного усиления. Результаты этой работы представил на IEEE Международной научно-технической конференции «Актуальные проблемы электронного приборостроения» AПЭП-2025 руководитель научной лаборатории общей и прикладной фотоники НГТУ НЭТИ, завкафедрой лазерных систем физико-технического факультета кандидат физико-математических наук, доцент Борис Нюшков.</w:t>
      </w:r>
    </w:p>
    <w:p w:rsidR="003E3F17" w:rsidRPr="00530662" w:rsidRDefault="003E3F17" w:rsidP="003E3F17">
      <w:pPr>
        <w:rPr>
          <w:rFonts w:ascii="Times New Roman" w:hAnsi="Times New Roman" w:cs="Times New Roman"/>
          <w:sz w:val="26"/>
          <w:szCs w:val="26"/>
        </w:rPr>
      </w:pPr>
      <w:r w:rsidRPr="00530662">
        <w:rPr>
          <w:rFonts w:ascii="Times New Roman" w:hAnsi="Times New Roman" w:cs="Times New Roman"/>
          <w:sz w:val="26"/>
          <w:szCs w:val="26"/>
        </w:rPr>
        <w:t xml:space="preserve">По словам ученого, традиционно для формирования импульсов применялись специальные устройства — модуляторы света внутри или снаружи лазера либо насыщающиеся поглотители. Однако они усложняли конструкцию лазера, увеличивали его стоимость, снижали надежность и ограничивали энергетическую эффективность. Известный альтернативный подход основан на импульсной модуляции лазерного усиления, но обычно для этого требуется более сложная импульсная система накачки для лазера. </w:t>
      </w:r>
    </w:p>
    <w:p w:rsidR="003E3F17" w:rsidRPr="00530662" w:rsidRDefault="003E3F17" w:rsidP="003E3F17">
      <w:pPr>
        <w:rPr>
          <w:rFonts w:ascii="Times New Roman" w:hAnsi="Times New Roman" w:cs="Times New Roman"/>
          <w:sz w:val="26"/>
          <w:szCs w:val="26"/>
        </w:rPr>
      </w:pPr>
      <w:r w:rsidRPr="00530662">
        <w:rPr>
          <w:rFonts w:ascii="Times New Roman" w:hAnsi="Times New Roman" w:cs="Times New Roman"/>
          <w:sz w:val="26"/>
          <w:szCs w:val="26"/>
        </w:rPr>
        <w:t xml:space="preserve">Борис Нюшков в соавторстве с коллегами из Новосибирского государственного университета предложил несколько новых подходов к формированию импульсного лазерного излучения на основе новых принципов модуляции и самомодуляции лазерного усиления, не требующих сложной импульсной накачки. И теперь именно </w:t>
      </w:r>
      <w:r w:rsidRPr="00530662">
        <w:rPr>
          <w:rFonts w:ascii="Times New Roman" w:hAnsi="Times New Roman" w:cs="Times New Roman"/>
          <w:sz w:val="26"/>
          <w:szCs w:val="26"/>
        </w:rPr>
        <w:lastRenderedPageBreak/>
        <w:t xml:space="preserve">в НГТУ НЭТИ, в лаборатории общей и прикладной фотоники один из этих способов впервые в мире успешно реализован и подробно исследован применительно к одному из наиболее распространенных и востребованных типов лазеров — редкоземельным волоконным лазерам. </w:t>
      </w:r>
    </w:p>
    <w:p w:rsidR="003E3F17" w:rsidRPr="00530662" w:rsidRDefault="003E3F17" w:rsidP="003E3F17">
      <w:pPr>
        <w:rPr>
          <w:rFonts w:ascii="Times New Roman" w:hAnsi="Times New Roman" w:cs="Times New Roman"/>
          <w:sz w:val="26"/>
          <w:szCs w:val="26"/>
        </w:rPr>
      </w:pPr>
      <w:r w:rsidRPr="00530662">
        <w:rPr>
          <w:rFonts w:ascii="Times New Roman" w:hAnsi="Times New Roman" w:cs="Times New Roman"/>
          <w:sz w:val="26"/>
          <w:szCs w:val="26"/>
        </w:rPr>
        <w:t xml:space="preserve">Как пояснил Борис Нюшков, реализованная трансформация классической топологии кольцевого волоконного лазера позволила за счет возникновения отрицательной оптической обратной связи достичь устойчивой импульсно-периодической самомодуляции лазерного усиления и импульсного режима генерации. Важными прикладными качествами реализованного способа являются простота и надежность конструкции лазера, высокая энергетическая эффективность, возможность регулирования частотно-временных характеристик в широком диапазоне. </w:t>
      </w:r>
    </w:p>
    <w:p w:rsidR="003E3F17" w:rsidRPr="00530662" w:rsidRDefault="003E3F17" w:rsidP="003E3F17">
      <w:pPr>
        <w:rPr>
          <w:rFonts w:ascii="Times New Roman" w:hAnsi="Times New Roman" w:cs="Times New Roman"/>
          <w:sz w:val="26"/>
          <w:szCs w:val="26"/>
        </w:rPr>
      </w:pPr>
      <w:r w:rsidRPr="00530662">
        <w:rPr>
          <w:rFonts w:ascii="Times New Roman" w:hAnsi="Times New Roman" w:cs="Times New Roman"/>
          <w:sz w:val="26"/>
          <w:szCs w:val="26"/>
        </w:rPr>
        <w:t>Подробные результаты проведенной комплексной, экспериментальной и теоретической, научно-исследовательской работы, характеристики и особенности нового способа импульсной генерации, а также возможности управления его характеристиками представил на конференции в отдельном докладе соавтор работы — сотрудник лаборатории, магистрант кафедры лазерных систем НГТУ НЭТИ Максим Радченко.</w:t>
      </w:r>
    </w:p>
    <w:p w:rsidR="003E3F17" w:rsidRPr="00530662" w:rsidRDefault="003E3F17" w:rsidP="003E3F17">
      <w:pPr>
        <w:rPr>
          <w:rFonts w:ascii="Times New Roman" w:hAnsi="Times New Roman" w:cs="Times New Roman"/>
          <w:sz w:val="26"/>
          <w:szCs w:val="26"/>
        </w:rPr>
      </w:pPr>
      <w:r w:rsidRPr="00530662">
        <w:rPr>
          <w:rFonts w:ascii="Times New Roman" w:hAnsi="Times New Roman" w:cs="Times New Roman"/>
          <w:sz w:val="26"/>
          <w:szCs w:val="26"/>
        </w:rPr>
        <w:t>«Наша работа — это тот замечательный случай, когда исследования в области лазерной физики, имеющие в своей основе фундаментальный характер, позволили получить яркий практический результат, который несомненно найдет применение при создании новых, более надежных и эффективных лазерных устройств, востребованных в различных сферах», — подчеркнул Борис Нюшков.</w:t>
      </w:r>
    </w:p>
    <w:p w:rsidR="003E3F17" w:rsidRPr="00530662" w:rsidRDefault="003E3F17" w:rsidP="003E3F17">
      <w:pPr>
        <w:rPr>
          <w:rFonts w:ascii="Times New Roman" w:hAnsi="Times New Roman" w:cs="Times New Roman"/>
          <w:b/>
          <w:sz w:val="26"/>
          <w:szCs w:val="26"/>
        </w:rPr>
      </w:pPr>
      <w:r w:rsidRPr="00530662">
        <w:rPr>
          <w:rFonts w:ascii="Times New Roman" w:hAnsi="Times New Roman" w:cs="Times New Roman"/>
          <w:b/>
          <w:sz w:val="26"/>
          <w:szCs w:val="26"/>
        </w:rPr>
        <w:t xml:space="preserve">Справка о конференции </w:t>
      </w:r>
    </w:p>
    <w:p w:rsidR="003E3F17" w:rsidRPr="00530662" w:rsidRDefault="003E3F17" w:rsidP="003E3F17">
      <w:pPr>
        <w:spacing w:line="259" w:lineRule="auto"/>
        <w:rPr>
          <w:rFonts w:ascii="Times New Roman" w:eastAsia="Calibri" w:hAnsi="Times New Roman" w:cs="Times New Roman"/>
          <w:color w:val="000000"/>
          <w:sz w:val="26"/>
          <w:szCs w:val="26"/>
          <w:shd w:val="clear" w:color="auto" w:fill="FFFFFF"/>
        </w:rPr>
      </w:pPr>
      <w:hyperlink r:id="rId9" w:history="1">
        <w:r w:rsidRPr="00530662">
          <w:rPr>
            <w:rStyle w:val="af"/>
            <w:rFonts w:ascii="Times New Roman" w:eastAsia="Calibri" w:hAnsi="Times New Roman" w:cs="Times New Roman"/>
            <w:sz w:val="26"/>
            <w:szCs w:val="26"/>
            <w:shd w:val="clear" w:color="auto" w:fill="FFFFFF"/>
          </w:rPr>
          <w:t>IEEE Международная научно-техническая конференция «Актуальные проблемы электронного приборостроения» АПЭП-2025</w:t>
        </w:r>
      </w:hyperlink>
      <w:r w:rsidRPr="00530662">
        <w:rPr>
          <w:rFonts w:ascii="Times New Roman" w:eastAsia="Calibri" w:hAnsi="Times New Roman" w:cs="Times New Roman"/>
          <w:color w:val="000000"/>
          <w:sz w:val="26"/>
          <w:szCs w:val="26"/>
          <w:shd w:val="clear" w:color="auto" w:fill="FFFFFF"/>
        </w:rPr>
        <w:t xml:space="preserve"> проходит в Новосибирске 14—15 ноября 2025 года. Организатором научной конференции выступает Новосибирский государственный </w:t>
      </w:r>
      <w:r w:rsidRPr="00530662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 xml:space="preserve">технический </w:t>
      </w:r>
      <w:r w:rsidRPr="00530662">
        <w:rPr>
          <w:rFonts w:ascii="Times New Roman" w:eastAsia="Calibri" w:hAnsi="Times New Roman" w:cs="Times New Roman"/>
          <w:color w:val="000000"/>
          <w:sz w:val="26"/>
          <w:szCs w:val="26"/>
          <w:shd w:val="clear" w:color="auto" w:fill="FFFFFF"/>
        </w:rPr>
        <w:t xml:space="preserve">университет НЭТИ и Сибирское отделение IEEE. </w:t>
      </w:r>
    </w:p>
    <w:p w:rsidR="003E3F17" w:rsidRPr="00530662" w:rsidRDefault="003E3F17" w:rsidP="003E3F17">
      <w:pPr>
        <w:spacing w:line="259" w:lineRule="auto"/>
        <w:rPr>
          <w:rFonts w:ascii="Times New Roman" w:eastAsia="Calibri" w:hAnsi="Times New Roman" w:cs="Times New Roman"/>
          <w:color w:val="000000"/>
          <w:sz w:val="26"/>
          <w:szCs w:val="26"/>
          <w:shd w:val="clear" w:color="auto" w:fill="FFFFFF"/>
        </w:rPr>
      </w:pPr>
      <w:r w:rsidRPr="00530662">
        <w:rPr>
          <w:rFonts w:ascii="Times New Roman" w:eastAsia="Calibri" w:hAnsi="Times New Roman" w:cs="Times New Roman"/>
          <w:color w:val="000000"/>
          <w:sz w:val="26"/>
          <w:szCs w:val="26"/>
          <w:shd w:val="clear" w:color="auto" w:fill="FFFFFF"/>
        </w:rPr>
        <w:t xml:space="preserve">Конференция является традиционным и авторитетным научным форумом, который собирает ведущих специалистов с 1990 года. За время проведения конференции было представлено более 10 000 докладов, для многих ученых она стала отправной точкой в карьере и местом обсуждения своих научных достижений. </w:t>
      </w:r>
    </w:p>
    <w:p w:rsidR="003E3F17" w:rsidRPr="00530662" w:rsidRDefault="003E3F17" w:rsidP="003E3F17">
      <w:pPr>
        <w:spacing w:line="259" w:lineRule="auto"/>
        <w:rPr>
          <w:rFonts w:ascii="Times New Roman" w:eastAsia="Calibri" w:hAnsi="Times New Roman" w:cs="Times New Roman"/>
          <w:color w:val="000000"/>
          <w:sz w:val="26"/>
          <w:szCs w:val="26"/>
          <w:shd w:val="clear" w:color="auto" w:fill="FFFFFF"/>
        </w:rPr>
      </w:pPr>
      <w:r w:rsidRPr="00530662">
        <w:rPr>
          <w:rFonts w:ascii="Times New Roman" w:eastAsia="Calibri" w:hAnsi="Times New Roman" w:cs="Times New Roman"/>
          <w:color w:val="000000"/>
          <w:sz w:val="26"/>
          <w:szCs w:val="26"/>
          <w:shd w:val="clear" w:color="auto" w:fill="FFFFFF"/>
        </w:rPr>
        <w:t xml:space="preserve">В работе конференции АПЭП-2025 принимают участие ученые и эксперты из 16 стран мира и 60 регионов России. Программа международной конференции включает секции по всем критически важным направлениям развития отрасли: электронные приборы, нанотехнологии и микросистемная техника; медицинские электронные приборы и биотехнологии; электротехника и электроэнергетика; радиотехника и телекоммуникационные системы; автоматизация и </w:t>
      </w:r>
      <w:r w:rsidRPr="00530662">
        <w:rPr>
          <w:rFonts w:ascii="Times New Roman" w:eastAsia="Calibri" w:hAnsi="Times New Roman" w:cs="Times New Roman"/>
          <w:color w:val="000000"/>
          <w:sz w:val="26"/>
          <w:szCs w:val="26"/>
          <w:shd w:val="clear" w:color="auto" w:fill="FFFFFF"/>
        </w:rPr>
        <w:lastRenderedPageBreak/>
        <w:t>информационно-измерительные технологии; математическое моделирование процессов и устройств; оптические и лазерные технологии.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357D" w:rsidRDefault="0003357D">
      <w:pPr>
        <w:spacing w:after="0" w:line="240" w:lineRule="auto"/>
      </w:pPr>
      <w:r>
        <w:separator/>
      </w:r>
    </w:p>
  </w:endnote>
  <w:endnote w:type="continuationSeparator" w:id="0">
    <w:p w:rsidR="0003357D" w:rsidRDefault="000335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357D" w:rsidRDefault="0003357D">
      <w:pPr>
        <w:spacing w:after="0" w:line="240" w:lineRule="auto"/>
      </w:pPr>
      <w:r>
        <w:separator/>
      </w:r>
    </w:p>
  </w:footnote>
  <w:footnote w:type="continuationSeparator" w:id="0">
    <w:p w:rsidR="0003357D" w:rsidRDefault="0003357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1570C9"/>
    <w:rsid w:val="001620D3"/>
    <w:rsid w:val="001B5086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2B80"/>
    <w:rsid w:val="00AE3C49"/>
    <w:rsid w:val="00B25E76"/>
    <w:rsid w:val="00B30C9C"/>
    <w:rsid w:val="00B80F48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1EC89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apeie.ieeesiberia.org/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807</Words>
  <Characters>4604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2025-11-14T05:03:00Z</dcterms:created>
  <dcterms:modified xsi:type="dcterms:W3CDTF">2025-11-14T05:03:00Z</dcterms:modified>
</cp:coreProperties>
</file>