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230913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230913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30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сентября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BB0C48" w:rsidRPr="004D07B7" w:rsidRDefault="00512C62">
      <w:pPr>
        <w:keepLines/>
        <w:spacing w:line="240" w:lineRule="auto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D07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4D07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B0C48" w:rsidRPr="004D07B7" w:rsidRDefault="00BB0C48">
      <w:pPr>
        <w:keepLines/>
        <w:spacing w:line="57" w:lineRule="atLeast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Фонд поддержки «В мегасайенс — со школьной скамьи» создается в Новосибирской области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 экспертной сессии в Кольцово обсудили новый проект участников Межвузовского консорциума по взаимодействию с ЦКП «СКИФ» — создание фонда поддержки юных исследователей и их научных руководителей «В мегасайенс — со школьной скамьи».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Модель работы фонда, цели и алгоритм апробации на базе пяти школ консорциума стали центральной темой экспертной сессии в рамках XIII Российского форума биотехнологий OpenBio-2026. В дискуссии приняли участие представители органов власти, образовательного и научного сообщества, а также вузов — участников Межвузовского консорциума по взаимодействию с ЦКП «СКИФ».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замыслу инициаторов, фонд должен стать основой для системного вовлечения школьников в науку и выступать одной из моделей формирования пользовательского сообщества для установок класса «мегасайенс». Как отметил главный научный сотрудник ЦКП «СКИФ» Ян Зубавичус, выстраивать это сообщество нужно поэтапно: начинать работу со школьной скамьи и продолжать со студентами и аспирантами. Ученые готовы способствовать этому — читать научно</w:t>
      </w: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noBreakHyphen/>
        <w:t>популярные лекции, проводить мастер</w:t>
      </w: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noBreakHyphen/>
        <w:t>классы и экскурсии по СКИФу. Наиболее результативный путь привлечения школьников — проектная деятельность в рамках факультативного образования. «Однако для системной работы необходима институциональная поддержка. Создание специального фонда существенно повысило бы эффективность всех этих усилий», — подчеркнул ученый.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 необходимости системного подхода говорил и главный научный сотрудник Института философии и права СО РАН доктор философских наук Сергей Смирнов. Эксперт озвучил идею создания школ-лабораторий. «Для формирования у детей исследовательского мышления необходим системный подход: встраивание целевой подготовки в школьную программу, создание опорных площадок. Ключевым элементом здесь становится повышение квалификации учителей — именно от их компетенций зависит реализация нового образовательного блока. Оптимальной моделью может стать школа</w:t>
      </w: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noBreakHyphen/>
        <w:t>лаборатория: эту модель можно последовательно выращивать на базе нескольких опорных школ. Поскольку синхротронные исследования требуют гибридного междисциплинарного мышления, подготовка будущих ученых должна быть целенаправленной — здесь важную роль может сыграть специальный фонд поддержки», — рассказал спикер.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Ключевым практическим блоком сессии стало обсуждение пилота фонда. Исполнительный директор Межвузовского консорциума по взаимодействию с ЦКП «СКИФ» Ольга Колесова рассказала: «Мы запускаем пилот на базе пяти школ</w:t>
      </w:r>
      <w:bookmarkStart w:id="0" w:name="_GoBack"/>
      <w:bookmarkEnd w:id="0"/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поддержим исследовательские проекты школьников по четырем направлениям: физике, </w:t>
      </w: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химии, информатике и биологии. Проекты будут представлены на межрегиональном конкурсе «СКИФ — орбита открытий», а победители и призеры получат преимущество при поступлении в вузы консорциума — до 10 дополнительных баллов».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Апробация работы фонда пройдет на базе пяти опорных школ: лицея № 130 имени академика М. А. Лаврентьева, Инженерного лицея НГТУ, гимназии «Горностай» (Новосибирск), Биотехнологического лицея № 21 (Кольцово) и томского лицея им. Авдзейко.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Фонд также должен помочь масштабировать уже запущенные образовательные инициативы межвузовского консорциума. Среди них — конкурс «СКИФ: Орбита открытий», который, по словам директора МБОУ «Биотехнологический лицей № 21» Инны Тайлаковой, прошел на высоком уровне. Уже принято предварительное решение о включении конкурса в перечень олимпиад и конкурсов Министерства просвещения РФ, прорабатывается вопрос о дополнительных баллах для победителей при поступлении в вузы консорциума. Ресурсы фонда позволят масштабировать проект и выстроить системную подготовку школьников.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Отдельное направление — работа с педагогами. В ходе реализации первой российской программы ДПО для учителей естественно-научных дисциплин у членов консорциума возникла идея подготовки цикла разноуровневых учебно-методических пособий по тематике мегасайенс. «Мы взяли на себя миссию популяризаторов науки, — отмечает идеолог методической части работы со школьниками, профессор кафедры физики и методики обучения физике Томского государственного педагогического университета Михаил Червонный. — Анализ учебников по физике показал, что в них практически нет сведений о современных установках, технологиях и новых материалах. А ведь именно такие примеры, включая возможности СКИФ, способны стать для школьников настоящей мотивацией к изучению науки. Для того, чтобы устранить этот пробел, мы готовим учебно-методическое пособие — оно объединит исторический контекст и практико-ориентированные задания, в основе которых реальные научные открытия, сделанные на синхротронах. Кроме того, в рамках межвузовского консорциума мы запустили межрегиональные курсы повышения квалификации для педагогов».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Важная роль в подготовке кадров для ЦКП «СКИФ» принадлежит вузам. Инициатор создания межвузовского консорциума НГТУ НЭТИ активно интегрировал в образовательный процесс программы, нацеленные на подготовку кадров для установки мегасайенс. Исполняющий обязанности ректора НГТУ НЭТИ Игорь Марчук подчеркнул значимость ранней профориентации в формировании сообщества пользователей: уже на школьном этапе через проектную работу ребята могут познакомиться с научной деятельностью и в дальнейшем осознанно выбирать профессиональный путь.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Глава наукограда Кольцово Николай Красников обратил внимание на необходимость специализированных образовательных программ и системной поддержки: «Подготовка школьников под задачи установки СКИФ требует создания специализированных образовательных программ и системной поддержки: финансирование должно обеспечиваться как из бюджетных источников, так и за счет партнерства с бизнесом. Необходима современная, целенаправленная система обучения, ориентированная на реальные исследовательские задачи установки».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итогам дискуссии принят ряд конкретных решений, которые лягут в основу дальнейшей работы объединения. Помимо утверждения алгоритма апробации работы фонда на базе школ, участники договорились о запуске дополнительных образовательных программ для преподавателей школ и колледжей, чтобы они могли знакомить учащихся с возможностями синхротронных исследований.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конце экспертной сессии всем участникам дискуссии были вручены благодарственные письма.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Справка:</w:t>
      </w: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230913" w:rsidRPr="004D07B7" w:rsidRDefault="00230913" w:rsidP="0023091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D07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августе 2024 года на форуме «Технопром» в Новосибирске подписано соглашение о создании Межвузовского консорциума по взаимодействию с ЦКП «Сибирский кольцевой источник фотонов». Инициатором объединения выступил в рамках программы «Приоритет-2030» национального проекта «Молодежь и дети» НГТУ НЭТИ. Консорциум объединил усилия для научного сотрудничества, подготовки кадров для отечественных установок «мегасайенс», повышения престижа естественных наук среди школьников и укрепления лидерства России в синхротронных исследованиях. Сегодня в составе консорциума 35 участников из более чем 20 городов России.  Столь широкое представительство подтверждает высокий интерес к проекту и готовность научно-образовательного сообщества консолидировать усилия по подготовке кадров.</w:t>
      </w:r>
    </w:p>
    <w:p w:rsidR="00034BA3" w:rsidRDefault="00034BA3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B0C48" w:rsidRPr="00285986" w:rsidRDefault="00512C62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 w:rsidRPr="002859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  <w:r w:rsidRPr="00285986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230913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230913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230913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4D07B7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4D07B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4D07B7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7B7" w:rsidRDefault="004D07B7">
      <w:pPr>
        <w:spacing w:line="240" w:lineRule="auto"/>
      </w:pPr>
      <w:r>
        <w:separator/>
      </w:r>
    </w:p>
  </w:endnote>
  <w:endnote w:type="continuationSeparator" w:id="0">
    <w:p w:rsidR="004D07B7" w:rsidRDefault="004D07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7B7" w:rsidRDefault="004D07B7">
      <w:pPr>
        <w:spacing w:line="240" w:lineRule="auto"/>
      </w:pPr>
      <w:r>
        <w:separator/>
      </w:r>
    </w:p>
  </w:footnote>
  <w:footnote w:type="continuationSeparator" w:id="0">
    <w:p w:rsidR="004D07B7" w:rsidRDefault="004D07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230913"/>
    <w:rsid w:val="00250669"/>
    <w:rsid w:val="00285986"/>
    <w:rsid w:val="004D07B7"/>
    <w:rsid w:val="00512C62"/>
    <w:rsid w:val="00533173"/>
    <w:rsid w:val="005D1868"/>
    <w:rsid w:val="006B63AC"/>
    <w:rsid w:val="00841BCF"/>
    <w:rsid w:val="00BB0C48"/>
    <w:rsid w:val="00CF2707"/>
    <w:rsid w:val="00DC0801"/>
    <w:rsid w:val="00F2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8FC8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158</cp:revision>
  <dcterms:created xsi:type="dcterms:W3CDTF">2024-04-19T08:52:00Z</dcterms:created>
  <dcterms:modified xsi:type="dcterms:W3CDTF">2026-09-30T05:12:00Z</dcterms:modified>
  <cp:version>1048576</cp:version>
</cp:coreProperties>
</file>